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313" w:rsidRPr="00494F19" w:rsidRDefault="00494F19" w:rsidP="00494F19">
      <w:pPr>
        <w:jc w:val="center"/>
        <w:rPr>
          <w:b/>
        </w:rPr>
      </w:pPr>
      <w:bookmarkStart w:id="0" w:name="_GoBack"/>
      <w:bookmarkEnd w:id="0"/>
      <w:r w:rsidRPr="00494F19">
        <w:rPr>
          <w:b/>
        </w:rPr>
        <w:t>Сообщение</w:t>
      </w:r>
    </w:p>
    <w:p w:rsidR="00494F19" w:rsidRPr="00494F19" w:rsidRDefault="00494F19" w:rsidP="00494F19">
      <w:pPr>
        <w:jc w:val="center"/>
        <w:rPr>
          <w:b/>
        </w:rPr>
      </w:pPr>
      <w:r>
        <w:rPr>
          <w:b/>
        </w:rPr>
        <w:t>о</w:t>
      </w:r>
      <w:r w:rsidRPr="00494F19">
        <w:rPr>
          <w:b/>
        </w:rPr>
        <w:t xml:space="preserve"> существенном факте «Об отдельных решениях, принятых Советом директоров (Наблюдательным советом) эмитента»</w:t>
      </w:r>
    </w:p>
    <w:p w:rsidR="00494F19" w:rsidRDefault="00494F19"/>
    <w:tbl>
      <w:tblPr>
        <w:tblW w:w="9979"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33"/>
        <w:gridCol w:w="5046"/>
      </w:tblGrid>
      <w:tr w:rsidR="00494F19" w:rsidRPr="00494F19" w:rsidTr="00080806">
        <w:trPr>
          <w:cantSplit/>
        </w:trPr>
        <w:tc>
          <w:tcPr>
            <w:tcW w:w="9979" w:type="dxa"/>
            <w:gridSpan w:val="2"/>
            <w:tcBorders>
              <w:top w:val="single" w:sz="4" w:space="0" w:color="auto"/>
              <w:left w:val="single" w:sz="4" w:space="0" w:color="auto"/>
              <w:bottom w:val="single" w:sz="4" w:space="0" w:color="auto"/>
              <w:right w:val="single" w:sz="4" w:space="0" w:color="auto"/>
            </w:tcBorders>
            <w:hideMark/>
          </w:tcPr>
          <w:p w:rsidR="00494F19" w:rsidRPr="00494F19" w:rsidRDefault="00494F19" w:rsidP="00494F19">
            <w:pPr>
              <w:pStyle w:val="a3"/>
              <w:numPr>
                <w:ilvl w:val="0"/>
                <w:numId w:val="1"/>
              </w:numPr>
              <w:spacing w:line="276" w:lineRule="auto"/>
              <w:jc w:val="center"/>
            </w:pPr>
            <w:r w:rsidRPr="00494F19">
              <w:t xml:space="preserve"> Общие сведения</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1.1. Полное фирменное наименование эмитента (для некоммерческой организации – наименование)</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rsidP="00494F19">
            <w:pPr>
              <w:jc w:val="both"/>
            </w:pPr>
            <w:r>
              <w:t>Публичное акционерное общество «Дальневосточный завод энергетического машиностроения»</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1.2. Сокращенное фирменное наименование эмитента</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pPr>
              <w:spacing w:line="276" w:lineRule="auto"/>
              <w:ind w:left="57" w:right="57"/>
              <w:jc w:val="both"/>
            </w:pPr>
            <w:r>
              <w:t>ПАО «Дальэнергомаш»</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rsidP="00080806">
            <w:pPr>
              <w:spacing w:line="276" w:lineRule="auto"/>
              <w:ind w:left="142" w:right="57"/>
              <w:jc w:val="both"/>
            </w:pPr>
            <w:r w:rsidRPr="00494F19">
              <w:t>1.3. Место нахождения эмитента</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pPr>
              <w:spacing w:line="276" w:lineRule="auto"/>
              <w:ind w:left="57" w:right="57"/>
              <w:jc w:val="both"/>
            </w:pPr>
            <w:r>
              <w:t>Россия, 680013, г. Хабаровск, ул. Ленинградская, д.28</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1.4. ОГРН эмитента</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pPr>
              <w:spacing w:line="276" w:lineRule="auto"/>
              <w:ind w:left="57" w:right="57"/>
              <w:jc w:val="both"/>
            </w:pPr>
            <w:r>
              <w:t>1042700131781</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1.5. ИНН эмитента</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pPr>
              <w:spacing w:line="276" w:lineRule="auto"/>
              <w:ind w:left="57" w:right="57"/>
              <w:jc w:val="both"/>
            </w:pPr>
            <w:r>
              <w:t>2721111590</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1.6. Уникальный код эмитента, присвоенный регистрирующим органом</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494F19">
            <w:pPr>
              <w:spacing w:line="276" w:lineRule="auto"/>
              <w:ind w:left="57" w:right="57"/>
              <w:jc w:val="both"/>
              <w:rPr>
                <w:lang w:val="en-US"/>
              </w:rPr>
            </w:pPr>
            <w:r>
              <w:t>31763-</w:t>
            </w:r>
            <w:r>
              <w:rPr>
                <w:lang w:val="en-US"/>
              </w:rPr>
              <w:t>F</w:t>
            </w:r>
          </w:p>
        </w:tc>
      </w:tr>
      <w:tr w:rsidR="00494F19" w:rsidRPr="00494F19" w:rsidTr="00080806">
        <w:tc>
          <w:tcPr>
            <w:tcW w:w="4933" w:type="dxa"/>
            <w:tcBorders>
              <w:top w:val="single" w:sz="4" w:space="0" w:color="auto"/>
              <w:left w:val="single" w:sz="4" w:space="0" w:color="auto"/>
              <w:bottom w:val="single" w:sz="4" w:space="0" w:color="auto"/>
              <w:right w:val="single" w:sz="4" w:space="0" w:color="auto"/>
            </w:tcBorders>
            <w:hideMark/>
          </w:tcPr>
          <w:p w:rsidR="00494F19" w:rsidRPr="00494F19" w:rsidRDefault="00494F19">
            <w:pPr>
              <w:spacing w:line="276" w:lineRule="auto"/>
              <w:ind w:left="57" w:right="57"/>
              <w:jc w:val="both"/>
            </w:pPr>
            <w:r w:rsidRPr="00494F19">
              <w:t>1.7. Адрес страницы в сети Интернет, используемой эмитентом для раскрытия информации</w:t>
            </w:r>
          </w:p>
        </w:tc>
        <w:tc>
          <w:tcPr>
            <w:tcW w:w="5046" w:type="dxa"/>
            <w:tcBorders>
              <w:top w:val="single" w:sz="4" w:space="0" w:color="auto"/>
              <w:left w:val="single" w:sz="4" w:space="0" w:color="auto"/>
              <w:bottom w:val="single" w:sz="4" w:space="0" w:color="auto"/>
              <w:right w:val="single" w:sz="4" w:space="0" w:color="auto"/>
            </w:tcBorders>
          </w:tcPr>
          <w:p w:rsidR="00494F19" w:rsidRPr="00494F19" w:rsidRDefault="00AA4CED">
            <w:pPr>
              <w:spacing w:line="276" w:lineRule="auto"/>
              <w:ind w:left="57" w:right="57"/>
              <w:jc w:val="both"/>
            </w:pPr>
            <w:hyperlink r:id="rId6" w:history="1">
              <w:r w:rsidR="00494F19" w:rsidRPr="004751CD">
                <w:rPr>
                  <w:rStyle w:val="a4"/>
                  <w:color w:val="auto"/>
                  <w:u w:val="none"/>
                  <w:lang w:val="en-US"/>
                </w:rPr>
                <w:t>www</w:t>
              </w:r>
              <w:r w:rsidR="00494F19" w:rsidRPr="004751CD">
                <w:rPr>
                  <w:rStyle w:val="a4"/>
                  <w:color w:val="auto"/>
                  <w:u w:val="none"/>
                </w:rPr>
                <w:t>.</w:t>
              </w:r>
              <w:r w:rsidR="00494F19" w:rsidRPr="004751CD">
                <w:rPr>
                  <w:rStyle w:val="a4"/>
                  <w:color w:val="auto"/>
                  <w:u w:val="none"/>
                  <w:lang w:val="en-US"/>
                </w:rPr>
                <w:t>dalenergomash</w:t>
              </w:r>
              <w:r w:rsidR="00494F19" w:rsidRPr="004751CD">
                <w:rPr>
                  <w:rStyle w:val="a4"/>
                  <w:color w:val="auto"/>
                  <w:u w:val="none"/>
                </w:rPr>
                <w:t>.</w:t>
              </w:r>
              <w:r w:rsidR="00494F19" w:rsidRPr="004751CD">
                <w:rPr>
                  <w:rStyle w:val="a4"/>
                  <w:color w:val="auto"/>
                  <w:u w:val="none"/>
                  <w:lang w:val="en-US"/>
                </w:rPr>
                <w:t>ru</w:t>
              </w:r>
            </w:hyperlink>
            <w:r w:rsidR="00494F19" w:rsidRPr="004751CD">
              <w:t xml:space="preserve">, </w:t>
            </w:r>
            <w:r w:rsidR="00494F19">
              <w:rPr>
                <w:lang w:val="en-US"/>
              </w:rPr>
              <w:t>http</w:t>
            </w:r>
            <w:r w:rsidR="00494F19">
              <w:t>:</w:t>
            </w:r>
            <w:r w:rsidR="00494F19" w:rsidRPr="00494F19">
              <w:t>//</w:t>
            </w:r>
            <w:r w:rsidR="00494F19">
              <w:rPr>
                <w:lang w:val="en-US"/>
              </w:rPr>
              <w:t>disclosure</w:t>
            </w:r>
            <w:r w:rsidR="00494F19" w:rsidRPr="00494F19">
              <w:t>.1</w:t>
            </w:r>
            <w:r w:rsidR="00494F19">
              <w:rPr>
                <w:lang w:val="en-US"/>
              </w:rPr>
              <w:t>prime</w:t>
            </w:r>
            <w:r w:rsidR="00494F19" w:rsidRPr="00494F19">
              <w:t>.</w:t>
            </w:r>
            <w:r w:rsidR="00494F19">
              <w:rPr>
                <w:lang w:val="en-US"/>
              </w:rPr>
              <w:t>ru</w:t>
            </w:r>
            <w:r w:rsidR="00494F19" w:rsidRPr="00494F19">
              <w:t>/</w:t>
            </w:r>
            <w:r w:rsidR="00494F19">
              <w:rPr>
                <w:lang w:val="en-US"/>
              </w:rPr>
              <w:t>portal</w:t>
            </w:r>
            <w:r w:rsidR="00494F19" w:rsidRPr="00494F19">
              <w:t>/</w:t>
            </w:r>
            <w:r w:rsidR="00494F19">
              <w:rPr>
                <w:lang w:val="en-US"/>
              </w:rPr>
              <w:t>default</w:t>
            </w:r>
            <w:r w:rsidR="00494F19" w:rsidRPr="00494F19">
              <w:t>.</w:t>
            </w:r>
            <w:r w:rsidR="00494F19">
              <w:rPr>
                <w:lang w:val="en-US"/>
              </w:rPr>
              <w:t>aspx</w:t>
            </w:r>
            <w:r w:rsidR="00494F19" w:rsidRPr="00494F19">
              <w:t>?</w:t>
            </w:r>
            <w:r w:rsidR="00494F19">
              <w:rPr>
                <w:lang w:val="en-US"/>
              </w:rPr>
              <w:t>emId</w:t>
            </w:r>
            <w:r w:rsidR="00494F19" w:rsidRPr="00494F19">
              <w:t>=2721111590</w:t>
            </w:r>
          </w:p>
        </w:tc>
      </w:tr>
      <w:tr w:rsidR="004751CD" w:rsidRPr="00FB13F1" w:rsidTr="00080806">
        <w:tc>
          <w:tcPr>
            <w:tcW w:w="4933" w:type="dxa"/>
            <w:tcBorders>
              <w:top w:val="single" w:sz="4" w:space="0" w:color="auto"/>
              <w:left w:val="single" w:sz="4" w:space="0" w:color="auto"/>
              <w:bottom w:val="single" w:sz="4" w:space="0" w:color="auto"/>
              <w:right w:val="single" w:sz="4" w:space="0" w:color="auto"/>
            </w:tcBorders>
            <w:hideMark/>
          </w:tcPr>
          <w:p w:rsidR="004751CD" w:rsidRPr="00FB13F1" w:rsidRDefault="004751CD" w:rsidP="004751CD">
            <w:pPr>
              <w:spacing w:line="276" w:lineRule="auto"/>
              <w:ind w:left="57" w:right="57"/>
              <w:jc w:val="both"/>
            </w:pPr>
            <w:r>
              <w:t xml:space="preserve">1.8. </w:t>
            </w:r>
            <w:r w:rsidRPr="008E7F06">
              <w:t>Идентификационные признаки акций</w:t>
            </w:r>
            <w:r>
              <w:t xml:space="preserve"> эмитента</w:t>
            </w:r>
          </w:p>
        </w:tc>
        <w:tc>
          <w:tcPr>
            <w:tcW w:w="5046" w:type="dxa"/>
            <w:tcBorders>
              <w:top w:val="single" w:sz="4" w:space="0" w:color="auto"/>
              <w:left w:val="single" w:sz="4" w:space="0" w:color="auto"/>
              <w:bottom w:val="single" w:sz="4" w:space="0" w:color="auto"/>
              <w:right w:val="single" w:sz="4" w:space="0" w:color="auto"/>
            </w:tcBorders>
          </w:tcPr>
          <w:p w:rsidR="004751CD" w:rsidRPr="00FB13F1" w:rsidRDefault="004751CD" w:rsidP="004751CD">
            <w:pPr>
              <w:spacing w:line="276" w:lineRule="auto"/>
              <w:ind w:left="57" w:right="57"/>
              <w:jc w:val="both"/>
            </w:pPr>
            <w:r w:rsidRPr="008E7F06">
              <w:t>Акции именные обыкновенные бездокументарные, государственный регистрационный номер выпуска 1-01-31763-</w:t>
            </w:r>
            <w:r w:rsidRPr="004751CD">
              <w:t>F</w:t>
            </w:r>
            <w:r w:rsidRPr="008E7F06">
              <w:t xml:space="preserve">  от 25.03.2004 г.</w:t>
            </w:r>
          </w:p>
        </w:tc>
      </w:tr>
    </w:tbl>
    <w:p w:rsidR="00494F19" w:rsidRPr="00494F19" w:rsidRDefault="00494F19" w:rsidP="00494F19"/>
    <w:tbl>
      <w:tblPr>
        <w:tblW w:w="9979"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89"/>
        <w:gridCol w:w="4990"/>
      </w:tblGrid>
      <w:tr w:rsidR="00494F19" w:rsidTr="00080806">
        <w:trPr>
          <w:trHeight w:val="162"/>
        </w:trPr>
        <w:tc>
          <w:tcPr>
            <w:tcW w:w="9979" w:type="dxa"/>
            <w:gridSpan w:val="2"/>
            <w:tcBorders>
              <w:top w:val="single" w:sz="4" w:space="0" w:color="auto"/>
              <w:left w:val="single" w:sz="4" w:space="0" w:color="auto"/>
              <w:bottom w:val="single" w:sz="4" w:space="0" w:color="auto"/>
              <w:right w:val="single" w:sz="4" w:space="0" w:color="auto"/>
            </w:tcBorders>
            <w:hideMark/>
          </w:tcPr>
          <w:p w:rsidR="00494F19" w:rsidRPr="004751CD" w:rsidRDefault="00494F19">
            <w:pPr>
              <w:spacing w:line="276" w:lineRule="auto"/>
              <w:jc w:val="center"/>
            </w:pPr>
            <w:r w:rsidRPr="004751CD">
              <w:t>2. Содержание сообщения</w:t>
            </w:r>
          </w:p>
        </w:tc>
      </w:tr>
      <w:tr w:rsidR="00483EAF" w:rsidTr="00080806">
        <w:tc>
          <w:tcPr>
            <w:tcW w:w="4989" w:type="dxa"/>
            <w:tcBorders>
              <w:top w:val="single" w:sz="4" w:space="0" w:color="auto"/>
              <w:left w:val="single" w:sz="4" w:space="0" w:color="auto"/>
              <w:bottom w:val="single" w:sz="4" w:space="0" w:color="auto"/>
              <w:right w:val="single" w:sz="4" w:space="0" w:color="auto"/>
            </w:tcBorders>
          </w:tcPr>
          <w:p w:rsidR="00483EAF" w:rsidRPr="00483EAF" w:rsidRDefault="00483EAF" w:rsidP="00483EAF">
            <w:pPr>
              <w:spacing w:line="276" w:lineRule="auto"/>
              <w:ind w:left="57" w:right="57"/>
              <w:jc w:val="both"/>
            </w:pPr>
            <w:r w:rsidRPr="00483EAF">
              <w:t>2.1. Кворум заседания Совета Директоров</w:t>
            </w:r>
          </w:p>
        </w:tc>
        <w:tc>
          <w:tcPr>
            <w:tcW w:w="4990" w:type="dxa"/>
            <w:tcBorders>
              <w:top w:val="single" w:sz="4" w:space="0" w:color="auto"/>
              <w:left w:val="single" w:sz="4" w:space="0" w:color="auto"/>
              <w:bottom w:val="single" w:sz="4" w:space="0" w:color="auto"/>
              <w:right w:val="single" w:sz="4" w:space="0" w:color="auto"/>
            </w:tcBorders>
          </w:tcPr>
          <w:p w:rsidR="00483EAF" w:rsidRDefault="00483EAF" w:rsidP="00483EAF">
            <w:pPr>
              <w:spacing w:line="276" w:lineRule="auto"/>
              <w:ind w:left="57" w:right="57"/>
              <w:jc w:val="both"/>
            </w:pPr>
            <w:r w:rsidRPr="00483EAF">
              <w:t>Общее количество членов Совета директоров</w:t>
            </w:r>
            <w:r>
              <w:t xml:space="preserve">: </w:t>
            </w:r>
            <w:r w:rsidR="00BE47BF">
              <w:t>7</w:t>
            </w:r>
          </w:p>
          <w:p w:rsidR="00483EAF" w:rsidRPr="00483EAF" w:rsidRDefault="00483EAF" w:rsidP="002A40DB">
            <w:pPr>
              <w:spacing w:line="276" w:lineRule="auto"/>
              <w:ind w:left="57" w:right="57"/>
              <w:jc w:val="both"/>
            </w:pPr>
            <w:r>
              <w:t>Приняли участие в заседании Совета директоров:</w:t>
            </w:r>
            <w:r w:rsidR="009F343F">
              <w:t xml:space="preserve"> 7</w:t>
            </w:r>
          </w:p>
        </w:tc>
      </w:tr>
      <w:tr w:rsidR="00483EAF" w:rsidTr="00080806">
        <w:tc>
          <w:tcPr>
            <w:tcW w:w="9979" w:type="dxa"/>
            <w:gridSpan w:val="2"/>
            <w:tcBorders>
              <w:top w:val="single" w:sz="4" w:space="0" w:color="auto"/>
              <w:left w:val="single" w:sz="4" w:space="0" w:color="auto"/>
              <w:bottom w:val="single" w:sz="4" w:space="0" w:color="auto"/>
              <w:right w:val="single" w:sz="4" w:space="0" w:color="auto"/>
            </w:tcBorders>
          </w:tcPr>
          <w:p w:rsidR="00483EAF" w:rsidRPr="00267A71" w:rsidRDefault="009F730F" w:rsidP="009F730F">
            <w:pPr>
              <w:ind w:left="57" w:right="57"/>
              <w:jc w:val="both"/>
            </w:pPr>
            <w:r w:rsidRPr="00267A71">
              <w:t>2.2. Содержание отдельных решений, принятых Советом директоров ПАО «Дальэнергомаш» (далее также- «Общество») и результаты голосования по ним:</w:t>
            </w:r>
          </w:p>
          <w:p w:rsidR="009F730F" w:rsidRDefault="0052402F" w:rsidP="00886467">
            <w:pPr>
              <w:tabs>
                <w:tab w:val="num" w:pos="426"/>
              </w:tabs>
              <w:ind w:firstLine="709"/>
              <w:jc w:val="both"/>
            </w:pPr>
            <w:r>
              <w:t xml:space="preserve">1. </w:t>
            </w:r>
            <w:r w:rsidR="00886467" w:rsidRPr="00886467">
              <w:t>Избрать секретарем заседания Совета директоров ПАО «Дальэнергомаш» Конюшева О.В.</w:t>
            </w:r>
          </w:p>
          <w:p w:rsidR="00886467" w:rsidRDefault="0052402F" w:rsidP="00886467">
            <w:pPr>
              <w:tabs>
                <w:tab w:val="num" w:pos="426"/>
              </w:tabs>
              <w:ind w:firstLine="709"/>
              <w:jc w:val="both"/>
            </w:pPr>
            <w:r>
              <w:t xml:space="preserve">2. </w:t>
            </w:r>
            <w:r w:rsidR="00886467" w:rsidRPr="00886467">
              <w:t>Одобрить крупную сделку -  заключение кредитного договора с  АО «Солид Банк» на сумму 200 000 000 рублей сроком на 48 месяцев под 14,9% годовых на пополнение оборотных средств - в совершении которой имеется заинтересованность Концевич Г.И., являющейся одновременно единоличным исполнительным органом ЗАО «Востокмашкорпорация» и Председателем совета директоров ПАО «Дальэнергомаш».</w:t>
            </w:r>
          </w:p>
          <w:p w:rsidR="00886467" w:rsidRDefault="0052402F" w:rsidP="00886467">
            <w:pPr>
              <w:tabs>
                <w:tab w:val="num" w:pos="426"/>
              </w:tabs>
              <w:ind w:firstLine="709"/>
              <w:jc w:val="both"/>
            </w:pPr>
            <w:r>
              <w:t xml:space="preserve">3. </w:t>
            </w:r>
            <w:r w:rsidR="00886467">
              <w:t>Одобрить крупную сделку – передачу в залог АО «Солид Банк» в качестве обеспечения обязательств на сумму 151  371 600 рублей по кредитному договору возобновляемой кредитной линии на общую сумму 200 000 000 рублей на срок 48 месяцев имущества, принадлежащего ПАО «Дальэнергомаш»  на праве собственности - в совершении которой имеется заинтересованность Концевич Г.И. являющейся одновременно единоличным исполнительным органом ЗАО «Востокмашкорпорация» и Председателем совета директоров ПАО «Дальэнергомаш».</w:t>
            </w:r>
          </w:p>
          <w:p w:rsidR="00886467" w:rsidRDefault="00886467" w:rsidP="00886467">
            <w:pPr>
              <w:tabs>
                <w:tab w:val="num" w:pos="426"/>
              </w:tabs>
              <w:ind w:firstLine="709"/>
              <w:jc w:val="both"/>
            </w:pPr>
            <w:r>
              <w:t>Остальные условия указанных договоров определяются по усмотрению лица, уполномоченного на подписание соответствующих договоров.</w:t>
            </w:r>
          </w:p>
          <w:p w:rsidR="00886467" w:rsidRDefault="00886467" w:rsidP="00886467">
            <w:pPr>
              <w:tabs>
                <w:tab w:val="num" w:pos="426"/>
              </w:tabs>
              <w:ind w:firstLine="709"/>
              <w:jc w:val="both"/>
            </w:pPr>
            <w:r>
              <w:t>Право подписи кредитного договора, договора залога,  соглашений о безакцептном списании денежных средств с расчетного счета, графика гашения кредита, обязательства по поддержанию оборотов в АО «Солид Банк»  и других документов, необходимых  для получения кредита, предоставить Генеральному директору ПАО «Дальэнергомаш» Конюшеву О.В.</w:t>
            </w:r>
          </w:p>
          <w:p w:rsidR="00886467" w:rsidRDefault="00886467" w:rsidP="007A54EB">
            <w:pPr>
              <w:tabs>
                <w:tab w:val="num" w:pos="426"/>
              </w:tabs>
              <w:ind w:firstLine="709"/>
              <w:jc w:val="both"/>
            </w:pPr>
            <w:r>
              <w:t>Имущество, передава</w:t>
            </w:r>
            <w:r w:rsidR="007A54EB">
              <w:t>емое в залог залогодержателю:</w:t>
            </w:r>
          </w:p>
          <w:p w:rsidR="007A54EB" w:rsidRDefault="007A54EB" w:rsidP="007A54EB">
            <w:pPr>
              <w:tabs>
                <w:tab w:val="num" w:pos="426"/>
              </w:tabs>
              <w:ind w:firstLine="709"/>
              <w:jc w:val="both"/>
            </w:pPr>
            <w:r w:rsidRPr="007A54EB">
              <w:t>Газопровод, протяженность 1034,6 п. м, количество опор – 71 шт., инв. № 13063, лит. нет, адрес (местонахождение) объекта: Хабаровский край, Ленинский район, г. Комсомольск-на-Амуре</w:t>
            </w:r>
          </w:p>
          <w:p w:rsidR="007A54EB" w:rsidRDefault="007A54EB" w:rsidP="007A54EB">
            <w:pPr>
              <w:tabs>
                <w:tab w:val="num" w:pos="426"/>
              </w:tabs>
              <w:ind w:firstLine="709"/>
              <w:jc w:val="both"/>
            </w:pPr>
            <w:r w:rsidRPr="007A54EB">
              <w:t>Газопровод высокого давления к заводу "Амурлитмаш", протяженность 739,4 п. м, инв.№ 13062, лит. нет, количество колодцев - 1 шт., количество вводов - 1 шт., адрес (местонахождение) объекта: Хабаровский край, г. Комсомольск-на-Амуре.</w:t>
            </w:r>
          </w:p>
          <w:p w:rsidR="007A54EB" w:rsidRDefault="007A54EB" w:rsidP="007A54EB">
            <w:pPr>
              <w:tabs>
                <w:tab w:val="num" w:pos="426"/>
              </w:tabs>
              <w:ind w:firstLine="709"/>
              <w:jc w:val="both"/>
            </w:pPr>
            <w:r w:rsidRPr="007A54EB">
              <w:t>Корпус инженерный, назначение: нежилое, 3-этажный (подземных этажей – 1), общая площадь 3334,5 кв. м.,  инв. №12699, лит. 2, адрес (местонахождение) объекта: Хабаровский край, г. Комсомольск-на-Амуре, ул. Культурная, 1, Лит. 2.</w:t>
            </w:r>
          </w:p>
          <w:p w:rsidR="007A54EB" w:rsidRDefault="007A54EB" w:rsidP="007A54EB">
            <w:pPr>
              <w:tabs>
                <w:tab w:val="num" w:pos="426"/>
              </w:tabs>
              <w:ind w:firstLine="709"/>
              <w:jc w:val="both"/>
            </w:pPr>
            <w:r w:rsidRPr="007A54EB">
              <w:t>Корпус №4 (компрессорная), назначение: нежилое, 1-этажный, общая площадь 840,8 кв. м., инв. №12699, лит. 9, адрес (местонахождение) объекта: Хабаровский край, г. Комсомольск-на-Амуре, ул. Культурная, 1, Лит.9.</w:t>
            </w:r>
          </w:p>
          <w:p w:rsidR="007A54EB" w:rsidRDefault="007A54EB" w:rsidP="007A54EB">
            <w:pPr>
              <w:tabs>
                <w:tab w:val="num" w:pos="426"/>
              </w:tabs>
              <w:ind w:firstLine="709"/>
              <w:jc w:val="both"/>
            </w:pPr>
            <w:r w:rsidRPr="007A54EB">
              <w:t>Корпус №13 склад №2, назначение: нежилое, 1-этажный, общая площадь 1052,8 кв. м., инв.№12699, лит.8,  адрес объекта: Хабаровский край, г. Комсомольск-на-Амуре, ул. Культурная, 1, Лит.8.</w:t>
            </w:r>
          </w:p>
          <w:p w:rsidR="007A54EB" w:rsidRDefault="007A54EB" w:rsidP="007A54EB">
            <w:pPr>
              <w:tabs>
                <w:tab w:val="num" w:pos="426"/>
              </w:tabs>
              <w:ind w:firstLine="709"/>
              <w:jc w:val="both"/>
            </w:pPr>
            <w:r w:rsidRPr="007A54EB">
              <w:t>Корпус №14 склад №3 увк, назначение: нежилое, 1-этажный, общая площадь 1021,8 кв.м.инв.№12699, лит.7,  адрес объекта: Хабаровский край, г. Комсомольск-на-Амуре, ул. Культурная, 1, Лит.7.</w:t>
            </w:r>
          </w:p>
          <w:p w:rsidR="007A54EB" w:rsidRDefault="007A54EB" w:rsidP="007A54EB">
            <w:pPr>
              <w:tabs>
                <w:tab w:val="num" w:pos="426"/>
              </w:tabs>
              <w:ind w:firstLine="709"/>
              <w:jc w:val="both"/>
            </w:pPr>
            <w:r w:rsidRPr="007A54EB">
              <w:t>Корпус №15 склад №4 саи, назначение: нежилое, 1-этажный, общая площадь 1311,7 кв. м. инв.№ 12699, лит.4, адрес  объекта: Хабаровский край, г. Комсомольск-на-Амуре, ул. Культурная, 1, Лит.4.</w:t>
            </w:r>
          </w:p>
          <w:p w:rsidR="007A54EB" w:rsidRDefault="007A54EB" w:rsidP="007A54EB">
            <w:pPr>
              <w:tabs>
                <w:tab w:val="num" w:pos="426"/>
              </w:tabs>
              <w:ind w:firstLine="709"/>
              <w:jc w:val="both"/>
            </w:pPr>
            <w:r w:rsidRPr="007A54EB">
              <w:t>Корпус №1 (механический цех), назначение: нежилое, 2-этажный (подземных этажей - 1), общая площадь 15364,7 кв.м.,инв.№12699, лит.11,  адрес объекта: Хабаровский край, г. Комсомольск-на-Амуре, ул. Культурная, 1, Лит.11.</w:t>
            </w:r>
          </w:p>
          <w:p w:rsidR="007A54EB" w:rsidRDefault="007A54EB" w:rsidP="007A54EB">
            <w:pPr>
              <w:tabs>
                <w:tab w:val="num" w:pos="426"/>
              </w:tabs>
              <w:ind w:firstLine="709"/>
              <w:jc w:val="both"/>
            </w:pPr>
            <w:r w:rsidRPr="007A54EB">
              <w:lastRenderedPageBreak/>
              <w:t>Корпус №1 (котельная), назначение: нежилое, 4-этажный, общая площадь2334,5 кв. м. инв. № 12699, лит.13, адрес объекта: Хабаровский край, г. Комсомольск-на-Амуре, ул. Культурная, 1, Лит.13.</w:t>
            </w:r>
          </w:p>
          <w:p w:rsidR="007A54EB" w:rsidRDefault="007A54EB" w:rsidP="007A54EB">
            <w:pPr>
              <w:tabs>
                <w:tab w:val="num" w:pos="426"/>
              </w:tabs>
              <w:ind w:firstLine="709"/>
              <w:jc w:val="both"/>
            </w:pPr>
            <w:r w:rsidRPr="007A54EB">
              <w:t>Корпус №3 (кузница), назначение: нежилое, 2-этажный, общая площадь 4169,5 кв. м. инв.№12699, лит. 1, адрес объекта: Хабаровский край, г. Комсомольск-на-Амуре, ул. Культурная, 1, Лит.1.</w:t>
            </w:r>
          </w:p>
          <w:p w:rsidR="007A54EB" w:rsidRDefault="007A54EB" w:rsidP="007A54EB">
            <w:pPr>
              <w:tabs>
                <w:tab w:val="num" w:pos="426"/>
              </w:tabs>
              <w:ind w:firstLine="709"/>
              <w:jc w:val="both"/>
            </w:pPr>
            <w:r w:rsidRPr="007A54EB">
              <w:t>Корпус №6 (мастерская гаража), назначение: нежилое, 1-этажный, общая площадь 2167,2 кв. м. инв.№ 12699, лит.15, адрес объекта: Хабаровский край, г. Комсомольск-на-Амуре, ул. Культурная, 1, Лит.15.</w:t>
            </w:r>
          </w:p>
          <w:p w:rsidR="007A54EB" w:rsidRDefault="007A54EB" w:rsidP="007A54EB">
            <w:pPr>
              <w:tabs>
                <w:tab w:val="num" w:pos="426"/>
              </w:tabs>
              <w:ind w:firstLine="709"/>
              <w:jc w:val="both"/>
            </w:pPr>
            <w:r w:rsidRPr="007A54EB">
              <w:t>Проходная центральная, назначение: нежилое, 1-этажный, общая площадь 400,9 кв.м.инв.№12699, лит.10,  адрес объекта: Хабаровский край, г. Комсомольск-на-Амуре, ул. Культурная, 1, Лит.10.</w:t>
            </w:r>
          </w:p>
          <w:p w:rsidR="007A54EB" w:rsidRDefault="007A54EB" w:rsidP="007A54EB">
            <w:pPr>
              <w:tabs>
                <w:tab w:val="num" w:pos="426"/>
              </w:tabs>
              <w:ind w:firstLine="709"/>
              <w:jc w:val="both"/>
            </w:pPr>
            <w:r w:rsidRPr="007A54EB">
              <w:t>Склад №20 (депо), назначение: нежилое, 1-этажный, общая площадь 1261,2 кв. м., инв.№12699, лит.6,  адрес объекта: Хабаровский край, г. Комсомольск-на-Амуре, ул. Культурная, 1, Лит.6.</w:t>
            </w:r>
          </w:p>
          <w:p w:rsidR="007A54EB" w:rsidRDefault="007A54EB" w:rsidP="007A54EB">
            <w:pPr>
              <w:tabs>
                <w:tab w:val="num" w:pos="426"/>
              </w:tabs>
              <w:ind w:firstLine="709"/>
              <w:jc w:val="both"/>
            </w:pPr>
            <w:r w:rsidRPr="007A54EB">
              <w:t>Склад инструментальный, назначение: нежилое, 2-этажный, общая площадь 2095,3 кв. м., инв.№12699, лит.3, адрес объекта: Хабаровский край, г. Комсомольск-на-Амуре, ул. Культурная, 1, Лит.3.</w:t>
            </w:r>
          </w:p>
          <w:p w:rsidR="007A54EB" w:rsidRDefault="007A54EB" w:rsidP="007A54EB">
            <w:pPr>
              <w:tabs>
                <w:tab w:val="num" w:pos="426"/>
              </w:tabs>
              <w:ind w:firstLine="709"/>
              <w:jc w:val="both"/>
            </w:pPr>
            <w:r w:rsidRPr="007A54EB">
              <w:t>Участок  спецчугуна, назначение: нежилое, общая площадь 1671,9 кв. м., адрес объекта: Хабаровский край, г. Комсомольск-на-Амуре, ул. Культурная, 1, Кв. (Пом) I(41-60).</w:t>
            </w:r>
          </w:p>
          <w:p w:rsidR="007A54EB" w:rsidRDefault="007A54EB" w:rsidP="007A54EB">
            <w:pPr>
              <w:tabs>
                <w:tab w:val="num" w:pos="426"/>
              </w:tabs>
              <w:ind w:firstLine="709"/>
              <w:jc w:val="both"/>
            </w:pPr>
            <w:r w:rsidRPr="007A54EB">
              <w:t>Участок сталеплавильный, назначение: нежилое, этаж 3, общая площадь 9932,2 кв. м., адрес (местонахождение) объекта: Хабаровский край, г. Комсомольск-на-Амуре, ул. Культурная, 1, Кв. (Пом.) 1(1-40).</w:t>
            </w:r>
          </w:p>
          <w:p w:rsidR="007A54EB" w:rsidRDefault="007A54EB" w:rsidP="007A54EB">
            <w:pPr>
              <w:tabs>
                <w:tab w:val="num" w:pos="426"/>
              </w:tabs>
              <w:ind w:firstLine="709"/>
              <w:jc w:val="both"/>
            </w:pPr>
            <w:r w:rsidRPr="007A54EB">
              <w:t>Функциональное помещение, назначение: нежилое, общая площадь 4384,7 кв. м., этаж 1,адрес объекта: Хабаровский край, г. Комсомольск-на-Амуре, ул. Культурная, 1, Кв. (Пом.) (1-55,71)</w:t>
            </w:r>
          </w:p>
          <w:p w:rsidR="007A54EB" w:rsidRDefault="007A54EB" w:rsidP="007A54EB">
            <w:pPr>
              <w:tabs>
                <w:tab w:val="num" w:pos="426"/>
              </w:tabs>
              <w:ind w:firstLine="709"/>
              <w:jc w:val="both"/>
            </w:pPr>
            <w:r w:rsidRPr="007A54EB">
              <w:t>Помещение "энергетический участок", назначение: нежилое, общая площадь 2497,60 кв. м., этаж1, адрес объекта: Хабаровский край, г. Комсомольск-на-Амуре, ул. Культурная, 1, пом. II (31-50).</w:t>
            </w:r>
          </w:p>
          <w:p w:rsidR="007A54EB" w:rsidRDefault="007A54EB" w:rsidP="007A54EB">
            <w:pPr>
              <w:tabs>
                <w:tab w:val="num" w:pos="426"/>
              </w:tabs>
              <w:ind w:firstLine="709"/>
              <w:jc w:val="both"/>
            </w:pPr>
            <w:r w:rsidRPr="007A54EB">
              <w:t>Право аренды на земельные участки в количестве 18 единиц, категория: земли населенных пунктов, назначение: для использования объекта промышленности - промышленной площадки завода, общей площадью 180 867 кв. м , находящиеся по адресу: Хабаровский край, г. Комсомольск-на-Амуре, по ул. Культурной,1.</w:t>
            </w:r>
          </w:p>
          <w:p w:rsidR="007A54EB" w:rsidRPr="00267A71" w:rsidRDefault="007A54EB" w:rsidP="007A54EB">
            <w:pPr>
              <w:tabs>
                <w:tab w:val="num" w:pos="426"/>
              </w:tabs>
              <w:ind w:firstLine="709"/>
              <w:jc w:val="both"/>
              <w:rPr>
                <w:highlight w:val="yellow"/>
              </w:rPr>
            </w:pPr>
          </w:p>
        </w:tc>
      </w:tr>
      <w:tr w:rsidR="00E72B75" w:rsidTr="00080806">
        <w:tc>
          <w:tcPr>
            <w:tcW w:w="4989" w:type="dxa"/>
            <w:tcBorders>
              <w:top w:val="single" w:sz="4" w:space="0" w:color="auto"/>
              <w:left w:val="single" w:sz="4" w:space="0" w:color="auto"/>
              <w:bottom w:val="single" w:sz="4" w:space="0" w:color="auto"/>
              <w:right w:val="single" w:sz="4" w:space="0" w:color="auto"/>
            </w:tcBorders>
          </w:tcPr>
          <w:p w:rsidR="00E72B75" w:rsidRPr="00421359" w:rsidRDefault="00E72B75" w:rsidP="009F730F">
            <w:pPr>
              <w:ind w:left="57" w:right="57"/>
              <w:jc w:val="both"/>
            </w:pPr>
            <w:r w:rsidRPr="00421359">
              <w:lastRenderedPageBreak/>
              <w:t>2.3. Дата проведе</w:t>
            </w:r>
            <w:r w:rsidR="00421359" w:rsidRPr="00421359">
              <w:t>ния заседания Совета директоров</w:t>
            </w:r>
            <w:r w:rsidRPr="00421359">
              <w:t xml:space="preserve"> на котором </w:t>
            </w:r>
            <w:r w:rsidR="00421359" w:rsidRPr="00421359">
              <w:t>приняты соответствующие решения</w:t>
            </w:r>
          </w:p>
        </w:tc>
        <w:tc>
          <w:tcPr>
            <w:tcW w:w="4990" w:type="dxa"/>
            <w:tcBorders>
              <w:top w:val="single" w:sz="4" w:space="0" w:color="auto"/>
              <w:left w:val="single" w:sz="4" w:space="0" w:color="auto"/>
              <w:bottom w:val="single" w:sz="4" w:space="0" w:color="auto"/>
              <w:right w:val="single" w:sz="4" w:space="0" w:color="auto"/>
            </w:tcBorders>
          </w:tcPr>
          <w:p w:rsidR="00E72B75" w:rsidRPr="00267A71" w:rsidRDefault="007A54EB" w:rsidP="009F730F">
            <w:pPr>
              <w:ind w:left="57" w:right="57"/>
              <w:jc w:val="both"/>
              <w:rPr>
                <w:highlight w:val="yellow"/>
              </w:rPr>
            </w:pPr>
            <w:r>
              <w:t>03.08</w:t>
            </w:r>
            <w:r w:rsidR="009F343F" w:rsidRPr="00421359">
              <w:t>.2016</w:t>
            </w:r>
            <w:r w:rsidR="00E72B75" w:rsidRPr="00421359">
              <w:t xml:space="preserve"> г.</w:t>
            </w:r>
          </w:p>
        </w:tc>
      </w:tr>
      <w:tr w:rsidR="00E72B75" w:rsidTr="00080806">
        <w:tc>
          <w:tcPr>
            <w:tcW w:w="4989" w:type="dxa"/>
            <w:tcBorders>
              <w:top w:val="single" w:sz="4" w:space="0" w:color="auto"/>
              <w:left w:val="single" w:sz="4" w:space="0" w:color="auto"/>
              <w:bottom w:val="single" w:sz="4" w:space="0" w:color="auto"/>
              <w:right w:val="single" w:sz="4" w:space="0" w:color="auto"/>
            </w:tcBorders>
          </w:tcPr>
          <w:p w:rsidR="00E72B75" w:rsidRPr="00421359" w:rsidRDefault="00E72B75" w:rsidP="009F730F">
            <w:pPr>
              <w:ind w:left="57" w:right="57"/>
              <w:jc w:val="both"/>
            </w:pPr>
            <w:r w:rsidRPr="00421359">
              <w:t xml:space="preserve">2.4. Дата составления и номер протокола заседания Совета директоров, на котором </w:t>
            </w:r>
            <w:r w:rsidR="00421359" w:rsidRPr="00421359">
              <w:t>приняты соответствующие решения</w:t>
            </w:r>
          </w:p>
        </w:tc>
        <w:tc>
          <w:tcPr>
            <w:tcW w:w="4990" w:type="dxa"/>
            <w:tcBorders>
              <w:top w:val="single" w:sz="4" w:space="0" w:color="auto"/>
              <w:left w:val="single" w:sz="4" w:space="0" w:color="auto"/>
              <w:bottom w:val="single" w:sz="4" w:space="0" w:color="auto"/>
              <w:right w:val="single" w:sz="4" w:space="0" w:color="auto"/>
            </w:tcBorders>
          </w:tcPr>
          <w:p w:rsidR="00E72B75" w:rsidRPr="00267A71" w:rsidRDefault="007A54EB" w:rsidP="009F730F">
            <w:pPr>
              <w:ind w:left="57" w:right="57"/>
              <w:jc w:val="both"/>
              <w:rPr>
                <w:highlight w:val="yellow"/>
              </w:rPr>
            </w:pPr>
            <w:r>
              <w:t>03.08</w:t>
            </w:r>
            <w:r w:rsidR="009F343F" w:rsidRPr="00421359">
              <w:t>.2016</w:t>
            </w:r>
            <w:r w:rsidR="00E72B75" w:rsidRPr="00421359">
              <w:t xml:space="preserve"> г.</w:t>
            </w:r>
            <w:r w:rsidR="00080806">
              <w:t xml:space="preserve"> № б/н</w:t>
            </w:r>
          </w:p>
        </w:tc>
      </w:tr>
    </w:tbl>
    <w:p w:rsidR="00494F19" w:rsidRDefault="00494F19" w:rsidP="00494F19">
      <w:pPr>
        <w:rPr>
          <w:sz w:val="24"/>
          <w:szCs w:val="24"/>
        </w:rPr>
      </w:pPr>
    </w:p>
    <w:tbl>
      <w:tblPr>
        <w:tblW w:w="0" w:type="auto"/>
        <w:tblInd w:w="-736" w:type="dxa"/>
        <w:tblLayout w:type="fixed"/>
        <w:tblCellMar>
          <w:left w:w="28" w:type="dxa"/>
          <w:right w:w="28" w:type="dxa"/>
        </w:tblCellMar>
        <w:tblLook w:val="04A0" w:firstRow="1" w:lastRow="0" w:firstColumn="1" w:lastColumn="0" w:noHBand="0" w:noVBand="1"/>
      </w:tblPr>
      <w:tblGrid>
        <w:gridCol w:w="1077"/>
        <w:gridCol w:w="198"/>
        <w:gridCol w:w="397"/>
        <w:gridCol w:w="227"/>
        <w:gridCol w:w="1361"/>
        <w:gridCol w:w="369"/>
        <w:gridCol w:w="369"/>
        <w:gridCol w:w="425"/>
        <w:gridCol w:w="1701"/>
        <w:gridCol w:w="567"/>
        <w:gridCol w:w="3288"/>
      </w:tblGrid>
      <w:tr w:rsidR="00494F19" w:rsidTr="00080806">
        <w:tc>
          <w:tcPr>
            <w:tcW w:w="9979" w:type="dxa"/>
            <w:gridSpan w:val="11"/>
            <w:tcBorders>
              <w:top w:val="single" w:sz="4" w:space="0" w:color="auto"/>
              <w:left w:val="single" w:sz="4" w:space="0" w:color="auto"/>
              <w:bottom w:val="single" w:sz="4" w:space="0" w:color="auto"/>
              <w:right w:val="single" w:sz="4" w:space="0" w:color="auto"/>
            </w:tcBorders>
            <w:hideMark/>
          </w:tcPr>
          <w:p w:rsidR="00494F19" w:rsidRPr="004751CD" w:rsidRDefault="00494F19">
            <w:pPr>
              <w:spacing w:line="276" w:lineRule="auto"/>
              <w:jc w:val="center"/>
            </w:pPr>
            <w:r w:rsidRPr="004751CD">
              <w:t>3. Подпись</w:t>
            </w:r>
          </w:p>
        </w:tc>
      </w:tr>
      <w:tr w:rsidR="004B452F" w:rsidTr="004B452F">
        <w:trPr>
          <w:trHeight w:val="390"/>
        </w:trPr>
        <w:tc>
          <w:tcPr>
            <w:tcW w:w="4423" w:type="dxa"/>
            <w:gridSpan w:val="8"/>
            <w:tcBorders>
              <w:top w:val="single" w:sz="4" w:space="0" w:color="auto"/>
              <w:left w:val="single" w:sz="4" w:space="0" w:color="auto"/>
              <w:bottom w:val="nil"/>
              <w:right w:val="nil"/>
            </w:tcBorders>
            <w:vAlign w:val="bottom"/>
            <w:hideMark/>
          </w:tcPr>
          <w:p w:rsidR="004B452F" w:rsidRDefault="004B452F" w:rsidP="004629FD">
            <w:pPr>
              <w:spacing w:line="276" w:lineRule="auto"/>
              <w:ind w:left="57"/>
            </w:pPr>
          </w:p>
          <w:p w:rsidR="004B452F" w:rsidRPr="004751CD" w:rsidRDefault="004B452F" w:rsidP="004629FD">
            <w:pPr>
              <w:spacing w:line="276" w:lineRule="auto"/>
              <w:ind w:left="57"/>
            </w:pPr>
            <w:r w:rsidRPr="004751CD">
              <w:t>3.1. Генеральный директор</w:t>
            </w:r>
          </w:p>
        </w:tc>
        <w:tc>
          <w:tcPr>
            <w:tcW w:w="1701" w:type="dxa"/>
            <w:tcBorders>
              <w:top w:val="nil"/>
              <w:left w:val="nil"/>
              <w:bottom w:val="single" w:sz="4" w:space="0" w:color="auto"/>
              <w:right w:val="nil"/>
            </w:tcBorders>
            <w:vAlign w:val="bottom"/>
          </w:tcPr>
          <w:p w:rsidR="004B452F" w:rsidRPr="004751CD" w:rsidRDefault="004B452F">
            <w:pPr>
              <w:spacing w:line="276" w:lineRule="auto"/>
              <w:jc w:val="center"/>
            </w:pPr>
          </w:p>
        </w:tc>
        <w:tc>
          <w:tcPr>
            <w:tcW w:w="567" w:type="dxa"/>
            <w:vAlign w:val="bottom"/>
          </w:tcPr>
          <w:p w:rsidR="004B452F" w:rsidRPr="004751CD" w:rsidRDefault="004B452F">
            <w:pPr>
              <w:spacing w:line="276" w:lineRule="auto"/>
            </w:pPr>
          </w:p>
        </w:tc>
        <w:tc>
          <w:tcPr>
            <w:tcW w:w="3288" w:type="dxa"/>
            <w:tcBorders>
              <w:top w:val="single" w:sz="4" w:space="0" w:color="auto"/>
              <w:left w:val="nil"/>
              <w:bottom w:val="nil"/>
              <w:right w:val="single" w:sz="4" w:space="0" w:color="auto"/>
            </w:tcBorders>
            <w:vAlign w:val="bottom"/>
          </w:tcPr>
          <w:p w:rsidR="004B452F" w:rsidRPr="004751CD" w:rsidRDefault="004B452F">
            <w:pPr>
              <w:spacing w:line="276" w:lineRule="auto"/>
            </w:pPr>
            <w:r>
              <w:t xml:space="preserve">         О.В.   Конюшев         </w:t>
            </w:r>
          </w:p>
        </w:tc>
      </w:tr>
      <w:tr w:rsidR="004B452F" w:rsidTr="004B452F">
        <w:tc>
          <w:tcPr>
            <w:tcW w:w="4423" w:type="dxa"/>
            <w:gridSpan w:val="8"/>
            <w:tcBorders>
              <w:top w:val="nil"/>
              <w:left w:val="single" w:sz="4" w:space="0" w:color="auto"/>
              <w:bottom w:val="nil"/>
              <w:right w:val="nil"/>
            </w:tcBorders>
          </w:tcPr>
          <w:p w:rsidR="004B452F" w:rsidRPr="004751CD" w:rsidRDefault="004B452F">
            <w:pPr>
              <w:spacing w:line="276" w:lineRule="auto"/>
              <w:ind w:left="57"/>
            </w:pPr>
          </w:p>
        </w:tc>
        <w:tc>
          <w:tcPr>
            <w:tcW w:w="1701" w:type="dxa"/>
            <w:hideMark/>
          </w:tcPr>
          <w:p w:rsidR="004B452F" w:rsidRPr="004751CD" w:rsidRDefault="004B452F">
            <w:pPr>
              <w:spacing w:line="276" w:lineRule="auto"/>
              <w:jc w:val="center"/>
            </w:pPr>
            <w:r w:rsidRPr="004751CD">
              <w:t>(подпись)</w:t>
            </w:r>
          </w:p>
        </w:tc>
        <w:tc>
          <w:tcPr>
            <w:tcW w:w="567" w:type="dxa"/>
          </w:tcPr>
          <w:p w:rsidR="004B452F" w:rsidRPr="004751CD" w:rsidRDefault="004B452F">
            <w:pPr>
              <w:spacing w:line="276" w:lineRule="auto"/>
            </w:pPr>
          </w:p>
        </w:tc>
        <w:tc>
          <w:tcPr>
            <w:tcW w:w="3287" w:type="dxa"/>
            <w:tcBorders>
              <w:top w:val="nil"/>
              <w:left w:val="nil"/>
              <w:bottom w:val="nil"/>
              <w:right w:val="single" w:sz="4" w:space="0" w:color="auto"/>
            </w:tcBorders>
          </w:tcPr>
          <w:p w:rsidR="004B452F" w:rsidRPr="004751CD" w:rsidRDefault="004B452F">
            <w:pPr>
              <w:spacing w:line="276" w:lineRule="auto"/>
            </w:pPr>
          </w:p>
        </w:tc>
      </w:tr>
      <w:tr w:rsidR="00494F19" w:rsidTr="00080806">
        <w:tc>
          <w:tcPr>
            <w:tcW w:w="1077" w:type="dxa"/>
            <w:tcBorders>
              <w:top w:val="nil"/>
              <w:left w:val="single" w:sz="4" w:space="0" w:color="auto"/>
              <w:bottom w:val="nil"/>
              <w:right w:val="nil"/>
            </w:tcBorders>
            <w:vAlign w:val="bottom"/>
            <w:hideMark/>
          </w:tcPr>
          <w:p w:rsidR="00494F19" w:rsidRPr="004751CD" w:rsidRDefault="00494F19">
            <w:pPr>
              <w:spacing w:before="240" w:line="276" w:lineRule="auto"/>
              <w:ind w:left="57"/>
            </w:pPr>
            <w:r w:rsidRPr="004751CD">
              <w:t>3.2. Дата</w:t>
            </w:r>
          </w:p>
        </w:tc>
        <w:tc>
          <w:tcPr>
            <w:tcW w:w="198" w:type="dxa"/>
            <w:vAlign w:val="bottom"/>
            <w:hideMark/>
          </w:tcPr>
          <w:p w:rsidR="00494F19" w:rsidRPr="004751CD" w:rsidRDefault="00494F19">
            <w:pPr>
              <w:spacing w:line="276" w:lineRule="auto"/>
              <w:jc w:val="right"/>
            </w:pPr>
            <w:r w:rsidRPr="004751CD">
              <w:t>“</w:t>
            </w:r>
          </w:p>
        </w:tc>
        <w:tc>
          <w:tcPr>
            <w:tcW w:w="397" w:type="dxa"/>
            <w:tcBorders>
              <w:top w:val="nil"/>
              <w:left w:val="nil"/>
              <w:bottom w:val="single" w:sz="4" w:space="0" w:color="auto"/>
              <w:right w:val="nil"/>
            </w:tcBorders>
            <w:vAlign w:val="bottom"/>
          </w:tcPr>
          <w:p w:rsidR="00494F19" w:rsidRPr="004751CD" w:rsidRDefault="007A54EB">
            <w:pPr>
              <w:spacing w:line="276" w:lineRule="auto"/>
              <w:jc w:val="center"/>
            </w:pPr>
            <w:r>
              <w:t>04</w:t>
            </w:r>
          </w:p>
        </w:tc>
        <w:tc>
          <w:tcPr>
            <w:tcW w:w="227" w:type="dxa"/>
            <w:vAlign w:val="bottom"/>
            <w:hideMark/>
          </w:tcPr>
          <w:p w:rsidR="00494F19" w:rsidRPr="004751CD" w:rsidRDefault="00494F19">
            <w:pPr>
              <w:spacing w:line="276" w:lineRule="auto"/>
            </w:pPr>
            <w:r w:rsidRPr="004751CD">
              <w:t>”</w:t>
            </w:r>
          </w:p>
        </w:tc>
        <w:tc>
          <w:tcPr>
            <w:tcW w:w="1361" w:type="dxa"/>
            <w:tcBorders>
              <w:top w:val="nil"/>
              <w:left w:val="nil"/>
              <w:bottom w:val="single" w:sz="4" w:space="0" w:color="auto"/>
              <w:right w:val="nil"/>
            </w:tcBorders>
            <w:vAlign w:val="bottom"/>
          </w:tcPr>
          <w:p w:rsidR="00494F19" w:rsidRPr="004751CD" w:rsidRDefault="007A54EB">
            <w:pPr>
              <w:spacing w:line="276" w:lineRule="auto"/>
              <w:jc w:val="center"/>
            </w:pPr>
            <w:r>
              <w:t>августа</w:t>
            </w:r>
          </w:p>
        </w:tc>
        <w:tc>
          <w:tcPr>
            <w:tcW w:w="369" w:type="dxa"/>
            <w:vAlign w:val="bottom"/>
            <w:hideMark/>
          </w:tcPr>
          <w:p w:rsidR="00494F19" w:rsidRPr="004751CD" w:rsidRDefault="00494F19">
            <w:pPr>
              <w:spacing w:line="276" w:lineRule="auto"/>
              <w:jc w:val="right"/>
            </w:pPr>
            <w:r w:rsidRPr="004751CD">
              <w:t>20</w:t>
            </w:r>
          </w:p>
        </w:tc>
        <w:tc>
          <w:tcPr>
            <w:tcW w:w="369" w:type="dxa"/>
            <w:tcBorders>
              <w:top w:val="nil"/>
              <w:left w:val="nil"/>
              <w:bottom w:val="single" w:sz="4" w:space="0" w:color="auto"/>
              <w:right w:val="nil"/>
            </w:tcBorders>
            <w:vAlign w:val="bottom"/>
          </w:tcPr>
          <w:p w:rsidR="00494F19" w:rsidRPr="004751CD" w:rsidRDefault="004751CD">
            <w:pPr>
              <w:spacing w:line="276" w:lineRule="auto"/>
            </w:pPr>
            <w:r>
              <w:t>16</w:t>
            </w:r>
          </w:p>
        </w:tc>
        <w:tc>
          <w:tcPr>
            <w:tcW w:w="425" w:type="dxa"/>
            <w:vAlign w:val="bottom"/>
            <w:hideMark/>
          </w:tcPr>
          <w:p w:rsidR="00494F19" w:rsidRPr="004751CD" w:rsidRDefault="00494F19">
            <w:pPr>
              <w:spacing w:line="276" w:lineRule="auto"/>
              <w:ind w:left="57"/>
            </w:pPr>
            <w:r w:rsidRPr="004751CD">
              <w:t>г.</w:t>
            </w:r>
          </w:p>
        </w:tc>
        <w:tc>
          <w:tcPr>
            <w:tcW w:w="1701" w:type="dxa"/>
            <w:vAlign w:val="bottom"/>
            <w:hideMark/>
          </w:tcPr>
          <w:p w:rsidR="00494F19" w:rsidRPr="004751CD" w:rsidRDefault="00494F19">
            <w:pPr>
              <w:spacing w:line="276" w:lineRule="auto"/>
              <w:jc w:val="center"/>
            </w:pPr>
            <w:r w:rsidRPr="004751CD">
              <w:t>М.П.</w:t>
            </w:r>
          </w:p>
        </w:tc>
        <w:tc>
          <w:tcPr>
            <w:tcW w:w="3855" w:type="dxa"/>
            <w:gridSpan w:val="2"/>
            <w:tcBorders>
              <w:top w:val="nil"/>
              <w:left w:val="nil"/>
              <w:bottom w:val="nil"/>
              <w:right w:val="single" w:sz="4" w:space="0" w:color="auto"/>
            </w:tcBorders>
            <w:vAlign w:val="bottom"/>
          </w:tcPr>
          <w:p w:rsidR="00494F19" w:rsidRPr="004751CD" w:rsidRDefault="00494F19">
            <w:pPr>
              <w:spacing w:line="276" w:lineRule="auto"/>
            </w:pPr>
          </w:p>
        </w:tc>
      </w:tr>
      <w:tr w:rsidR="00494F19" w:rsidTr="00080806">
        <w:tc>
          <w:tcPr>
            <w:tcW w:w="9979" w:type="dxa"/>
            <w:gridSpan w:val="11"/>
            <w:tcBorders>
              <w:top w:val="nil"/>
              <w:left w:val="single" w:sz="4" w:space="0" w:color="auto"/>
              <w:bottom w:val="single" w:sz="4" w:space="0" w:color="auto"/>
              <w:right w:val="single" w:sz="4" w:space="0" w:color="auto"/>
            </w:tcBorders>
          </w:tcPr>
          <w:p w:rsidR="00494F19" w:rsidRDefault="00494F19">
            <w:pPr>
              <w:spacing w:line="276" w:lineRule="auto"/>
              <w:rPr>
                <w:sz w:val="24"/>
                <w:szCs w:val="24"/>
              </w:rPr>
            </w:pPr>
          </w:p>
        </w:tc>
      </w:tr>
    </w:tbl>
    <w:p w:rsidR="00494F19" w:rsidRDefault="00494F19" w:rsidP="00494F19">
      <w:pPr>
        <w:rPr>
          <w:sz w:val="24"/>
          <w:szCs w:val="24"/>
        </w:rPr>
      </w:pPr>
    </w:p>
    <w:p w:rsidR="00494F19" w:rsidRDefault="00494F19"/>
    <w:sectPr w:rsidR="00494F19" w:rsidSect="00CD49BF">
      <w:pgSz w:w="11906" w:h="16838"/>
      <w:pgMar w:top="567"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E4FDE"/>
    <w:multiLevelType w:val="hybridMultilevel"/>
    <w:tmpl w:val="61A2180E"/>
    <w:lvl w:ilvl="0" w:tplc="6DDCF29E">
      <w:start w:val="1"/>
      <w:numFmt w:val="bullet"/>
      <w:lvlText w:val="-"/>
      <w:lvlJc w:val="left"/>
      <w:pPr>
        <w:tabs>
          <w:tab w:val="num" w:pos="855"/>
        </w:tabs>
        <w:ind w:left="855" w:hanging="360"/>
      </w:pPr>
      <w:rPr>
        <w:rFonts w:ascii="Times New Roman" w:eastAsia="Times New Roman" w:hAnsi="Times New Roman" w:cs="Times New Roman" w:hint="default"/>
      </w:rPr>
    </w:lvl>
    <w:lvl w:ilvl="1" w:tplc="04190003">
      <w:start w:val="1"/>
      <w:numFmt w:val="bullet"/>
      <w:lvlText w:val="o"/>
      <w:lvlJc w:val="left"/>
      <w:pPr>
        <w:tabs>
          <w:tab w:val="num" w:pos="1575"/>
        </w:tabs>
        <w:ind w:left="1575" w:hanging="360"/>
      </w:pPr>
      <w:rPr>
        <w:rFonts w:ascii="Courier New" w:hAnsi="Courier New" w:cs="Times New Roman" w:hint="default"/>
      </w:rPr>
    </w:lvl>
    <w:lvl w:ilvl="2" w:tplc="04190005">
      <w:start w:val="1"/>
      <w:numFmt w:val="bullet"/>
      <w:lvlText w:val=""/>
      <w:lvlJc w:val="left"/>
      <w:pPr>
        <w:tabs>
          <w:tab w:val="num" w:pos="2295"/>
        </w:tabs>
        <w:ind w:left="2295" w:hanging="360"/>
      </w:pPr>
      <w:rPr>
        <w:rFonts w:ascii="Wingdings" w:hAnsi="Wingdings" w:hint="default"/>
      </w:rPr>
    </w:lvl>
    <w:lvl w:ilvl="3" w:tplc="04190001">
      <w:start w:val="1"/>
      <w:numFmt w:val="bullet"/>
      <w:lvlText w:val=""/>
      <w:lvlJc w:val="left"/>
      <w:pPr>
        <w:tabs>
          <w:tab w:val="num" w:pos="3015"/>
        </w:tabs>
        <w:ind w:left="3015" w:hanging="360"/>
      </w:pPr>
      <w:rPr>
        <w:rFonts w:ascii="Symbol" w:hAnsi="Symbol" w:hint="default"/>
      </w:rPr>
    </w:lvl>
    <w:lvl w:ilvl="4" w:tplc="04190003">
      <w:start w:val="1"/>
      <w:numFmt w:val="bullet"/>
      <w:lvlText w:val="o"/>
      <w:lvlJc w:val="left"/>
      <w:pPr>
        <w:tabs>
          <w:tab w:val="num" w:pos="3735"/>
        </w:tabs>
        <w:ind w:left="3735" w:hanging="360"/>
      </w:pPr>
      <w:rPr>
        <w:rFonts w:ascii="Courier New" w:hAnsi="Courier New" w:cs="Times New Roman" w:hint="default"/>
      </w:rPr>
    </w:lvl>
    <w:lvl w:ilvl="5" w:tplc="04190005">
      <w:start w:val="1"/>
      <w:numFmt w:val="bullet"/>
      <w:lvlText w:val=""/>
      <w:lvlJc w:val="left"/>
      <w:pPr>
        <w:tabs>
          <w:tab w:val="num" w:pos="4455"/>
        </w:tabs>
        <w:ind w:left="4455" w:hanging="360"/>
      </w:pPr>
      <w:rPr>
        <w:rFonts w:ascii="Wingdings" w:hAnsi="Wingdings" w:hint="default"/>
      </w:rPr>
    </w:lvl>
    <w:lvl w:ilvl="6" w:tplc="04190001">
      <w:start w:val="1"/>
      <w:numFmt w:val="bullet"/>
      <w:lvlText w:val=""/>
      <w:lvlJc w:val="left"/>
      <w:pPr>
        <w:tabs>
          <w:tab w:val="num" w:pos="5175"/>
        </w:tabs>
        <w:ind w:left="5175" w:hanging="360"/>
      </w:pPr>
      <w:rPr>
        <w:rFonts w:ascii="Symbol" w:hAnsi="Symbol" w:hint="default"/>
      </w:rPr>
    </w:lvl>
    <w:lvl w:ilvl="7" w:tplc="04190003">
      <w:start w:val="1"/>
      <w:numFmt w:val="bullet"/>
      <w:lvlText w:val="o"/>
      <w:lvlJc w:val="left"/>
      <w:pPr>
        <w:tabs>
          <w:tab w:val="num" w:pos="5895"/>
        </w:tabs>
        <w:ind w:left="5895" w:hanging="360"/>
      </w:pPr>
      <w:rPr>
        <w:rFonts w:ascii="Courier New" w:hAnsi="Courier New" w:cs="Times New Roman" w:hint="default"/>
      </w:rPr>
    </w:lvl>
    <w:lvl w:ilvl="8" w:tplc="04190005">
      <w:start w:val="1"/>
      <w:numFmt w:val="bullet"/>
      <w:lvlText w:val=""/>
      <w:lvlJc w:val="left"/>
      <w:pPr>
        <w:tabs>
          <w:tab w:val="num" w:pos="6615"/>
        </w:tabs>
        <w:ind w:left="6615" w:hanging="360"/>
      </w:pPr>
      <w:rPr>
        <w:rFonts w:ascii="Wingdings" w:hAnsi="Wingdings" w:hint="default"/>
      </w:rPr>
    </w:lvl>
  </w:abstractNum>
  <w:abstractNum w:abstractNumId="1">
    <w:nsid w:val="5F9533BF"/>
    <w:multiLevelType w:val="hybridMultilevel"/>
    <w:tmpl w:val="3A18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F19"/>
    <w:rsid w:val="00080806"/>
    <w:rsid w:val="00106313"/>
    <w:rsid w:val="00267A71"/>
    <w:rsid w:val="002A40DB"/>
    <w:rsid w:val="00421359"/>
    <w:rsid w:val="004247D6"/>
    <w:rsid w:val="004629FD"/>
    <w:rsid w:val="004751CD"/>
    <w:rsid w:val="00483EAF"/>
    <w:rsid w:val="00494F19"/>
    <w:rsid w:val="004B452F"/>
    <w:rsid w:val="0052402F"/>
    <w:rsid w:val="00615C5F"/>
    <w:rsid w:val="00712B4E"/>
    <w:rsid w:val="007A54EB"/>
    <w:rsid w:val="00886467"/>
    <w:rsid w:val="009F343F"/>
    <w:rsid w:val="009F730F"/>
    <w:rsid w:val="00AA4CED"/>
    <w:rsid w:val="00BE47BF"/>
    <w:rsid w:val="00CA412F"/>
    <w:rsid w:val="00CD49BF"/>
    <w:rsid w:val="00E72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19"/>
    <w:pPr>
      <w:ind w:left="720"/>
      <w:contextualSpacing/>
    </w:pPr>
  </w:style>
  <w:style w:type="character" w:styleId="a4">
    <w:name w:val="Hyperlink"/>
    <w:basedOn w:val="a0"/>
    <w:uiPriority w:val="99"/>
    <w:unhideWhenUsed/>
    <w:rsid w:val="00494F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F1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4F19"/>
    <w:pPr>
      <w:ind w:left="720"/>
      <w:contextualSpacing/>
    </w:pPr>
  </w:style>
  <w:style w:type="character" w:styleId="a4">
    <w:name w:val="Hyperlink"/>
    <w:basedOn w:val="a0"/>
    <w:uiPriority w:val="99"/>
    <w:unhideWhenUsed/>
    <w:rsid w:val="00494F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31089">
      <w:bodyDiv w:val="1"/>
      <w:marLeft w:val="0"/>
      <w:marRight w:val="0"/>
      <w:marTop w:val="0"/>
      <w:marBottom w:val="0"/>
      <w:divBdr>
        <w:top w:val="none" w:sz="0" w:space="0" w:color="auto"/>
        <w:left w:val="none" w:sz="0" w:space="0" w:color="auto"/>
        <w:bottom w:val="none" w:sz="0" w:space="0" w:color="auto"/>
        <w:right w:val="none" w:sz="0" w:space="0" w:color="auto"/>
      </w:divBdr>
    </w:div>
    <w:div w:id="495846992">
      <w:bodyDiv w:val="1"/>
      <w:marLeft w:val="0"/>
      <w:marRight w:val="0"/>
      <w:marTop w:val="0"/>
      <w:marBottom w:val="0"/>
      <w:divBdr>
        <w:top w:val="none" w:sz="0" w:space="0" w:color="auto"/>
        <w:left w:val="none" w:sz="0" w:space="0" w:color="auto"/>
        <w:bottom w:val="none" w:sz="0" w:space="0" w:color="auto"/>
        <w:right w:val="none" w:sz="0" w:space="0" w:color="auto"/>
      </w:divBdr>
    </w:div>
    <w:div w:id="1082874840">
      <w:bodyDiv w:val="1"/>
      <w:marLeft w:val="0"/>
      <w:marRight w:val="0"/>
      <w:marTop w:val="0"/>
      <w:marBottom w:val="0"/>
      <w:divBdr>
        <w:top w:val="none" w:sz="0" w:space="0" w:color="auto"/>
        <w:left w:val="none" w:sz="0" w:space="0" w:color="auto"/>
        <w:bottom w:val="none" w:sz="0" w:space="0" w:color="auto"/>
        <w:right w:val="none" w:sz="0" w:space="0" w:color="auto"/>
      </w:divBdr>
    </w:div>
    <w:div w:id="1252816156">
      <w:bodyDiv w:val="1"/>
      <w:marLeft w:val="0"/>
      <w:marRight w:val="0"/>
      <w:marTop w:val="0"/>
      <w:marBottom w:val="0"/>
      <w:divBdr>
        <w:top w:val="none" w:sz="0" w:space="0" w:color="auto"/>
        <w:left w:val="none" w:sz="0" w:space="0" w:color="auto"/>
        <w:bottom w:val="none" w:sz="0" w:space="0" w:color="auto"/>
        <w:right w:val="none" w:sz="0" w:space="0" w:color="auto"/>
      </w:divBdr>
    </w:div>
    <w:div w:id="1506673807">
      <w:bodyDiv w:val="1"/>
      <w:marLeft w:val="0"/>
      <w:marRight w:val="0"/>
      <w:marTop w:val="0"/>
      <w:marBottom w:val="0"/>
      <w:divBdr>
        <w:top w:val="none" w:sz="0" w:space="0" w:color="auto"/>
        <w:left w:val="none" w:sz="0" w:space="0" w:color="auto"/>
        <w:bottom w:val="none" w:sz="0" w:space="0" w:color="auto"/>
        <w:right w:val="none" w:sz="0" w:space="0" w:color="auto"/>
      </w:divBdr>
    </w:div>
    <w:div w:id="1525941801">
      <w:bodyDiv w:val="1"/>
      <w:marLeft w:val="0"/>
      <w:marRight w:val="0"/>
      <w:marTop w:val="0"/>
      <w:marBottom w:val="0"/>
      <w:divBdr>
        <w:top w:val="none" w:sz="0" w:space="0" w:color="auto"/>
        <w:left w:val="none" w:sz="0" w:space="0" w:color="auto"/>
        <w:bottom w:val="none" w:sz="0" w:space="0" w:color="auto"/>
        <w:right w:val="none" w:sz="0" w:space="0" w:color="auto"/>
      </w:divBdr>
    </w:div>
    <w:div w:id="154980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energomash.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1038</Words>
  <Characters>5919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L</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Пшеничникова М.Ю</dc:creator>
  <cp:lastModifiedBy>Петр</cp:lastModifiedBy>
  <cp:revision>2</cp:revision>
  <cp:lastPrinted>2016-08-03T22:49:00Z</cp:lastPrinted>
  <dcterms:created xsi:type="dcterms:W3CDTF">2016-08-04T03:58:00Z</dcterms:created>
  <dcterms:modified xsi:type="dcterms:W3CDTF">2016-08-04T03:58:00Z</dcterms:modified>
</cp:coreProperties>
</file>